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Autospacing="0" w:afterAutospacing="0" w:line="420" w:lineRule="atLeast"/>
        <w:rPr>
          <w:rFonts w:ascii="微软雅黑" w:hAnsi="微软雅黑" w:eastAsia="微软雅黑" w:cs="微软雅黑"/>
          <w:color w:val="333333"/>
          <w:sz w:val="21"/>
          <w:szCs w:val="21"/>
        </w:rPr>
      </w:pPr>
      <w:bookmarkStart w:id="0" w:name="_Hlk22576831"/>
      <w:bookmarkEnd w:id="0"/>
      <w:r>
        <w:rPr>
          <w:rStyle w:val="10"/>
          <w:rFonts w:hint="eastAsia" w:ascii="微软雅黑" w:hAnsi="微软雅黑" w:eastAsia="微软雅黑" w:cs="微软雅黑"/>
          <w:color w:val="00000A"/>
          <w:shd w:val="clear" w:color="auto" w:fill="FFFFFF"/>
        </w:rPr>
        <w:t>附件</w:t>
      </w:r>
      <w:r>
        <w:rPr>
          <w:rStyle w:val="10"/>
          <w:rFonts w:hint="eastAsia" w:ascii="宋体" w:hAnsi="宋体" w:eastAsia="宋体" w:cs="宋体"/>
          <w:color w:val="00000A"/>
          <w:shd w:val="clear" w:color="auto" w:fill="FFFFFF"/>
        </w:rPr>
        <w:t>1</w:t>
      </w:r>
    </w:p>
    <w:p>
      <w:pPr>
        <w:pStyle w:val="7"/>
        <w:widowControl/>
        <w:spacing w:beforeAutospacing="0" w:afterAutospacing="0" w:line="420" w:lineRule="atLeast"/>
        <w:jc w:val="center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Style w:val="10"/>
          <w:rFonts w:ascii="仿宋" w:hAnsi="仿宋" w:eastAsia="仿宋" w:cs="仿宋"/>
          <w:color w:val="00000A"/>
          <w:sz w:val="27"/>
          <w:szCs w:val="27"/>
          <w:shd w:val="clear" w:color="auto" w:fill="FFFFFF"/>
        </w:rPr>
        <w:t>教育技术学院研究生“学术之星、实践之星”成果评分细则</w:t>
      </w:r>
    </w:p>
    <w:p>
      <w:pPr>
        <w:pStyle w:val="7"/>
        <w:widowControl/>
        <w:spacing w:beforeAutospacing="0" w:afterAutospacing="0" w:line="420" w:lineRule="atLeast"/>
        <w:ind w:firstLine="562"/>
        <w:rPr>
          <w:rFonts w:ascii="微软雅黑" w:hAnsi="微软雅黑" w:eastAsia="微软雅黑" w:cs="微软雅黑"/>
          <w:color w:val="333333"/>
          <w:sz w:val="21"/>
          <w:szCs w:val="21"/>
        </w:rPr>
      </w:pPr>
      <w:bookmarkStart w:id="3" w:name="_GoBack"/>
      <w:r>
        <w:rPr>
          <w:rFonts w:hint="eastAsia" w:ascii="仿宋" w:hAnsi="仿宋" w:eastAsia="仿宋" w:cs="仿宋"/>
          <w:color w:val="333333"/>
          <w:sz w:val="27"/>
          <w:szCs w:val="27"/>
        </w:rPr>
        <w:t>学院符合评审基本条件和其他条件的研究生“学术之星、实践之星”的评审，采用计算综合成绩的办法，按照得分高低依次排定名次。综合成绩包括科研业绩分数、学业成绩分数和学术活动表现分数，计算方式如下：</w:t>
      </w:r>
    </w:p>
    <w:p>
      <w:pPr>
        <w:pStyle w:val="7"/>
        <w:widowControl/>
        <w:spacing w:beforeAutospacing="0" w:afterAutospacing="0" w:line="420" w:lineRule="atLeast"/>
        <w:ind w:firstLine="562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27"/>
          <w:szCs w:val="27"/>
        </w:rPr>
        <w:t>综合成绩分数＝科研业绩分数（占</w:t>
      </w:r>
      <w:r>
        <w:rPr>
          <w:rFonts w:ascii="Times New Roman" w:hAnsi="Times New Roman" w:eastAsia="微软雅黑"/>
          <w:color w:val="333333"/>
          <w:sz w:val="27"/>
          <w:szCs w:val="27"/>
        </w:rPr>
        <w:t>50%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）</w:t>
      </w:r>
      <w:r>
        <w:rPr>
          <w:rFonts w:ascii="Times New Roman" w:hAnsi="Times New Roman" w:eastAsia="微软雅黑"/>
          <w:color w:val="333333"/>
          <w:sz w:val="27"/>
          <w:szCs w:val="27"/>
        </w:rPr>
        <w:t>+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学业成绩分数（占</w:t>
      </w:r>
      <w:r>
        <w:rPr>
          <w:rFonts w:ascii="Times New Roman" w:hAnsi="Times New Roman" w:eastAsia="微软雅黑"/>
          <w:color w:val="333333"/>
          <w:sz w:val="27"/>
          <w:szCs w:val="27"/>
        </w:rPr>
        <w:t>20%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）</w:t>
      </w:r>
      <w:r>
        <w:rPr>
          <w:rFonts w:ascii="Times New Roman" w:hAnsi="Times New Roman" w:eastAsia="微软雅黑"/>
          <w:color w:val="333333"/>
          <w:sz w:val="27"/>
          <w:szCs w:val="27"/>
        </w:rPr>
        <w:t>+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学术活动表现分数（占</w:t>
      </w:r>
      <w:r>
        <w:rPr>
          <w:rFonts w:ascii="Times New Roman" w:hAnsi="Times New Roman" w:eastAsia="微软雅黑"/>
          <w:color w:val="333333"/>
          <w:sz w:val="27"/>
          <w:szCs w:val="27"/>
        </w:rPr>
        <w:t>30%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）</w:t>
      </w:r>
    </w:p>
    <w:p>
      <w:pPr>
        <w:pStyle w:val="7"/>
        <w:widowControl/>
        <w:spacing w:beforeAutospacing="0" w:afterAutospacing="0" w:line="263" w:lineRule="atLeast"/>
        <w:ind w:firstLine="562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27"/>
          <w:szCs w:val="27"/>
        </w:rPr>
        <w:t>其中：</w:t>
      </w:r>
    </w:p>
    <w:p>
      <w:pPr>
        <w:pStyle w:val="7"/>
        <w:widowControl/>
        <w:spacing w:beforeAutospacing="0" w:afterAutospacing="0" w:line="263" w:lineRule="atLeast"/>
        <w:ind w:firstLine="562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ascii="Times New Roman" w:hAnsi="Times New Roman" w:eastAsia="微软雅黑"/>
          <w:color w:val="333333"/>
          <w:sz w:val="27"/>
          <w:szCs w:val="27"/>
        </w:rPr>
        <w:t>1.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科研业绩分数满分</w:t>
      </w:r>
      <w:r>
        <w:rPr>
          <w:rFonts w:ascii="Times New Roman" w:hAnsi="Times New Roman" w:eastAsia="微软雅黑"/>
          <w:color w:val="333333"/>
          <w:sz w:val="27"/>
          <w:szCs w:val="27"/>
        </w:rPr>
        <w:t>100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分，当科研业绩分数超过</w:t>
      </w:r>
      <w:r>
        <w:rPr>
          <w:rFonts w:ascii="Times New Roman" w:hAnsi="Times New Roman" w:eastAsia="微软雅黑"/>
          <w:color w:val="333333"/>
          <w:sz w:val="27"/>
          <w:szCs w:val="27"/>
        </w:rPr>
        <w:t>100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分时，每超过</w:t>
      </w:r>
      <w:r>
        <w:rPr>
          <w:rFonts w:ascii="Times New Roman" w:hAnsi="Times New Roman" w:eastAsia="微软雅黑"/>
          <w:color w:val="333333"/>
          <w:sz w:val="27"/>
          <w:szCs w:val="27"/>
        </w:rPr>
        <w:t>20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分，计</w:t>
      </w:r>
      <w:r>
        <w:rPr>
          <w:rFonts w:ascii="Times New Roman" w:hAnsi="Times New Roman" w:eastAsia="微软雅黑"/>
          <w:color w:val="333333"/>
          <w:sz w:val="27"/>
          <w:szCs w:val="27"/>
        </w:rPr>
        <w:t>2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分科研附加分，依次类推；</w:t>
      </w:r>
    </w:p>
    <w:p>
      <w:pPr>
        <w:pStyle w:val="7"/>
        <w:widowControl/>
        <w:spacing w:beforeAutospacing="0" w:afterAutospacing="0" w:line="263" w:lineRule="atLeast"/>
        <w:ind w:firstLine="562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ascii="Times New Roman" w:hAnsi="Times New Roman" w:eastAsia="微软雅黑"/>
          <w:color w:val="333333"/>
          <w:sz w:val="27"/>
          <w:szCs w:val="27"/>
        </w:rPr>
        <w:t>2.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学业成绩分数满分</w:t>
      </w:r>
      <w:r>
        <w:rPr>
          <w:rFonts w:ascii="Times New Roman" w:hAnsi="Times New Roman" w:eastAsia="微软雅黑"/>
          <w:color w:val="333333"/>
          <w:sz w:val="27"/>
          <w:szCs w:val="27"/>
        </w:rPr>
        <w:t>100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分；</w:t>
      </w:r>
    </w:p>
    <w:p>
      <w:pPr>
        <w:pStyle w:val="7"/>
        <w:widowControl/>
        <w:spacing w:beforeAutospacing="0" w:afterAutospacing="0" w:line="263" w:lineRule="atLeast"/>
        <w:ind w:firstLine="562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ascii="Times New Roman" w:hAnsi="Times New Roman" w:eastAsia="微软雅黑"/>
          <w:color w:val="333333"/>
          <w:sz w:val="27"/>
          <w:szCs w:val="27"/>
        </w:rPr>
        <w:t>3.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学术活动表现分数满分</w:t>
      </w:r>
      <w:r>
        <w:rPr>
          <w:rFonts w:ascii="Times New Roman" w:hAnsi="Times New Roman" w:eastAsia="微软雅黑"/>
          <w:color w:val="333333"/>
          <w:sz w:val="27"/>
          <w:szCs w:val="27"/>
        </w:rPr>
        <w:t>100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分。</w:t>
      </w:r>
    </w:p>
    <w:p>
      <w:pPr>
        <w:pStyle w:val="7"/>
        <w:widowControl/>
        <w:spacing w:beforeAutospacing="0" w:afterAutospacing="0" w:line="263" w:lineRule="atLeast"/>
        <w:ind w:firstLine="562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27"/>
          <w:szCs w:val="27"/>
        </w:rPr>
        <w:t>综合成绩分数累积计算后折合成百分制，满分</w:t>
      </w:r>
      <w:r>
        <w:rPr>
          <w:rFonts w:ascii="Times New Roman" w:hAnsi="Times New Roman" w:eastAsia="微软雅黑"/>
          <w:color w:val="333333"/>
          <w:sz w:val="27"/>
          <w:szCs w:val="27"/>
        </w:rPr>
        <w:t>100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分。</w:t>
      </w:r>
    </w:p>
    <w:p>
      <w:pPr>
        <w:pStyle w:val="7"/>
        <w:widowControl/>
        <w:spacing w:before="159" w:beforeAutospacing="0" w:after="159" w:afterAutospacing="0" w:line="26" w:lineRule="atLeast"/>
        <w:ind w:firstLine="550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Style w:val="10"/>
          <w:rFonts w:hint="eastAsia" w:ascii="仿宋" w:hAnsi="仿宋" w:eastAsia="仿宋" w:cs="仿宋"/>
          <w:color w:val="333333"/>
          <w:sz w:val="27"/>
          <w:szCs w:val="27"/>
        </w:rPr>
        <w:t>一、科研业绩分数计算</w:t>
      </w:r>
    </w:p>
    <w:p>
      <w:pPr>
        <w:pStyle w:val="7"/>
        <w:widowControl/>
        <w:spacing w:beforeAutospacing="0" w:afterAutospacing="0" w:line="263" w:lineRule="atLeast"/>
        <w:ind w:firstLine="562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27"/>
          <w:szCs w:val="27"/>
        </w:rPr>
        <w:t>科研业绩认定以</w:t>
      </w:r>
      <w:r>
        <w:rPr>
          <w:rFonts w:hint="eastAsia" w:ascii="仿宋" w:hAnsi="仿宋" w:eastAsia="仿宋" w:cs="仿宋"/>
          <w:color w:val="000000"/>
          <w:sz w:val="27"/>
          <w:szCs w:val="27"/>
        </w:rPr>
        <w:t>《西北师范大学教学科研项目、成果分类办法》（西师发〔</w:t>
      </w:r>
      <w:r>
        <w:rPr>
          <w:rFonts w:ascii="Times New Roman" w:hAnsi="Times New Roman" w:eastAsia="Calibri"/>
          <w:color w:val="000000"/>
          <w:sz w:val="27"/>
          <w:szCs w:val="27"/>
        </w:rPr>
        <w:t>20</w:t>
      </w:r>
      <w:r>
        <w:rPr>
          <w:rFonts w:hint="eastAsia" w:asciiTheme="minorEastAsia" w:hAnsiTheme="minorEastAsia"/>
          <w:color w:val="000000"/>
          <w:sz w:val="27"/>
          <w:szCs w:val="27"/>
        </w:rPr>
        <w:t>21</w:t>
      </w:r>
      <w:r>
        <w:rPr>
          <w:rFonts w:hint="eastAsia" w:ascii="仿宋" w:hAnsi="仿宋" w:eastAsia="仿宋" w:cs="仿宋"/>
          <w:color w:val="000000"/>
          <w:sz w:val="27"/>
          <w:szCs w:val="27"/>
        </w:rPr>
        <w:t>〕</w:t>
      </w:r>
      <w:r>
        <w:rPr>
          <w:rFonts w:hint="eastAsia" w:ascii="Times New Roman" w:hAnsi="Times New Roman" w:eastAsia="微软雅黑"/>
          <w:color w:val="000000"/>
          <w:sz w:val="27"/>
          <w:szCs w:val="27"/>
        </w:rPr>
        <w:t>160</w:t>
      </w:r>
      <w:r>
        <w:rPr>
          <w:rFonts w:hint="eastAsia" w:ascii="仿宋" w:hAnsi="仿宋" w:eastAsia="仿宋" w:cs="仿宋"/>
          <w:color w:val="000000"/>
          <w:sz w:val="27"/>
          <w:szCs w:val="27"/>
        </w:rPr>
        <w:t>号文件）执行，科研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业绩分数为以下各条得分累积构成。</w:t>
      </w:r>
    </w:p>
    <w:p>
      <w:pPr>
        <w:widowControl w:val="0"/>
        <w:spacing w:beforeLines="50" w:afterLines="50" w:line="300" w:lineRule="auto"/>
        <w:ind w:firstLine="560" w:firstLineChars="200"/>
        <w:rPr>
          <w:rFonts w:ascii="Times New Roman" w:hAnsi="仿宋" w:eastAsia="仿宋"/>
          <w:sz w:val="28"/>
          <w:szCs w:val="28"/>
        </w:rPr>
      </w:pPr>
      <w:r>
        <w:rPr>
          <w:rFonts w:hint="eastAsia" w:ascii="Times New Roman" w:hAnsi="仿宋" w:eastAsia="仿宋"/>
          <w:sz w:val="28"/>
          <w:szCs w:val="28"/>
        </w:rPr>
        <w:t>1.教学项目成果/科研项目计分标准</w:t>
      </w:r>
    </w:p>
    <w:p>
      <w:pPr>
        <w:widowControl w:val="0"/>
        <w:spacing w:after="0" w:line="300" w:lineRule="auto"/>
        <w:ind w:firstLine="560" w:firstLineChars="200"/>
        <w:rPr>
          <w:rFonts w:ascii="Times New Roman" w:hAnsi="仿宋" w:eastAsia="仿宋"/>
          <w:sz w:val="28"/>
          <w:szCs w:val="28"/>
        </w:rPr>
      </w:pPr>
      <w:r>
        <w:rPr>
          <w:rFonts w:hint="eastAsia" w:ascii="Times New Roman" w:hAnsi="仿宋" w:eastAsia="仿宋"/>
          <w:sz w:val="28"/>
          <w:szCs w:val="28"/>
        </w:rPr>
        <w:t>教学项目成果/科研项目须以西北师范大学为第一署名单位，分值可累加，计分标准如表1。科研项目认定以科研管理单位认定的项目申报书或结项证书为准，同一项目只计算一次。</w:t>
      </w:r>
    </w:p>
    <w:p>
      <w:pPr>
        <w:widowControl w:val="0"/>
        <w:spacing w:beforeLines="20" w:afterLines="20"/>
        <w:jc w:val="center"/>
        <w:rPr>
          <w:rFonts w:ascii="Times New Roman" w:hAnsi="Times New Roman" w:eastAsia="仿宋"/>
          <w:b/>
          <w:sz w:val="24"/>
          <w:szCs w:val="24"/>
        </w:rPr>
      </w:pPr>
      <w:r>
        <w:rPr>
          <w:rFonts w:hint="eastAsia" w:ascii="Times New Roman" w:hAnsi="Times New Roman" w:eastAsia="仿宋"/>
          <w:b/>
          <w:sz w:val="24"/>
          <w:szCs w:val="24"/>
        </w:rPr>
        <w:t>表1  教学项目成果/科研项目计分标准（单位：分/项）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32"/>
        <w:gridCol w:w="832"/>
        <w:gridCol w:w="832"/>
        <w:gridCol w:w="832"/>
        <w:gridCol w:w="705"/>
        <w:gridCol w:w="772"/>
        <w:gridCol w:w="717"/>
        <w:gridCol w:w="761"/>
        <w:gridCol w:w="761"/>
        <w:gridCol w:w="852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33" w:type="dxa"/>
            <w:vMerge w:val="restart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项目</w:t>
            </w:r>
          </w:p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级别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排名第一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排名第二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排名第三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排名第四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排名第五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博士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硕士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博士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硕士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博士</w:t>
            </w:r>
          </w:p>
        </w:tc>
        <w:tc>
          <w:tcPr>
            <w:tcW w:w="77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硕士</w:t>
            </w:r>
          </w:p>
        </w:tc>
        <w:tc>
          <w:tcPr>
            <w:tcW w:w="717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博士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硕士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博士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硕士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A1类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150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300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120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240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90</w:t>
            </w:r>
          </w:p>
        </w:tc>
        <w:tc>
          <w:tcPr>
            <w:tcW w:w="77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180</w:t>
            </w:r>
          </w:p>
        </w:tc>
        <w:tc>
          <w:tcPr>
            <w:tcW w:w="717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60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120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30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A2类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100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200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80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160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60</w:t>
            </w:r>
          </w:p>
        </w:tc>
        <w:tc>
          <w:tcPr>
            <w:tcW w:w="77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120</w:t>
            </w:r>
          </w:p>
        </w:tc>
        <w:tc>
          <w:tcPr>
            <w:tcW w:w="717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40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80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20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A3类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45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90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36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72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27</w:t>
            </w:r>
          </w:p>
        </w:tc>
        <w:tc>
          <w:tcPr>
            <w:tcW w:w="77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54</w:t>
            </w:r>
          </w:p>
        </w:tc>
        <w:tc>
          <w:tcPr>
            <w:tcW w:w="717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18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36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9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B类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30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60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24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48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18</w:t>
            </w:r>
          </w:p>
        </w:tc>
        <w:tc>
          <w:tcPr>
            <w:tcW w:w="77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36</w:t>
            </w:r>
          </w:p>
        </w:tc>
        <w:tc>
          <w:tcPr>
            <w:tcW w:w="717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12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24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6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C类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15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30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12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24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9</w:t>
            </w:r>
          </w:p>
        </w:tc>
        <w:tc>
          <w:tcPr>
            <w:tcW w:w="77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18</w:t>
            </w:r>
          </w:p>
        </w:tc>
        <w:tc>
          <w:tcPr>
            <w:tcW w:w="717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6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12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D类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5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10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4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8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</w:t>
            </w:r>
          </w:p>
        </w:tc>
        <w:tc>
          <w:tcPr>
            <w:tcW w:w="77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6</w:t>
            </w:r>
          </w:p>
        </w:tc>
        <w:tc>
          <w:tcPr>
            <w:tcW w:w="717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校级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5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4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77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</w:t>
            </w:r>
          </w:p>
        </w:tc>
        <w:tc>
          <w:tcPr>
            <w:tcW w:w="717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院级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</w:tbl>
    <w:p>
      <w:pPr>
        <w:widowControl w:val="0"/>
        <w:spacing w:beforeLines="50" w:afterLines="50" w:line="300" w:lineRule="auto"/>
        <w:rPr>
          <w:rFonts w:ascii="Times New Roman" w:hAnsi="仿宋" w:eastAsia="仿宋"/>
          <w:sz w:val="28"/>
          <w:szCs w:val="28"/>
        </w:rPr>
      </w:pPr>
      <w:r>
        <w:rPr>
          <w:rFonts w:hint="eastAsia" w:ascii="Times New Roman" w:hAnsi="仿宋" w:eastAsia="仿宋"/>
          <w:sz w:val="28"/>
          <w:szCs w:val="28"/>
        </w:rPr>
        <w:t xml:space="preserve">    2. 学术期刊论文计分标准</w:t>
      </w:r>
    </w:p>
    <w:p>
      <w:pPr>
        <w:widowControl w:val="0"/>
        <w:spacing w:after="0" w:line="300" w:lineRule="auto"/>
        <w:ind w:firstLine="560" w:firstLineChars="200"/>
        <w:rPr>
          <w:rFonts w:ascii="Times New Roman" w:hAnsi="仿宋" w:eastAsia="仿宋"/>
          <w:sz w:val="28"/>
          <w:szCs w:val="28"/>
        </w:rPr>
      </w:pPr>
      <w:r>
        <w:rPr>
          <w:rFonts w:hint="eastAsia" w:ascii="Times New Roman" w:hAnsi="仿宋" w:eastAsia="仿宋"/>
          <w:sz w:val="28"/>
          <w:szCs w:val="28"/>
        </w:rPr>
        <w:t>学术期刊论文第一署名单位须为西北师范大学，研究生为第一作者计满分。研究生为第二作者的学术期刊论文，第一作者署名须为导师。发表学术期刊论文的分值可累加，学术期刊论文计分标准如表2。</w:t>
      </w:r>
    </w:p>
    <w:p>
      <w:pPr>
        <w:widowControl w:val="0"/>
        <w:spacing w:beforeLines="20" w:afterLines="20"/>
        <w:jc w:val="center"/>
        <w:rPr>
          <w:rFonts w:ascii="Times New Roman" w:hAnsi="Times New Roman" w:eastAsia="仿宋"/>
          <w:b/>
          <w:sz w:val="24"/>
          <w:szCs w:val="24"/>
        </w:rPr>
      </w:pPr>
      <w:r>
        <w:rPr>
          <w:rFonts w:hint="eastAsia" w:ascii="Times New Roman" w:hAnsi="Times New Roman" w:eastAsia="仿宋"/>
          <w:b/>
          <w:sz w:val="24"/>
          <w:szCs w:val="24"/>
        </w:rPr>
        <w:t>表2  学术期刊论文计分标准（单位：分/篇）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07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论文级别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第一作者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第二作者</w:t>
            </w:r>
          </w:p>
        </w:tc>
        <w:tc>
          <w:tcPr>
            <w:tcW w:w="1407" w:type="dxa"/>
            <w:vMerge w:val="restart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博  士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硕  士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博  士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硕  士</w:t>
            </w:r>
          </w:p>
        </w:tc>
        <w:tc>
          <w:tcPr>
            <w:tcW w:w="1407" w:type="dxa"/>
            <w:vMerge w:val="continue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A1类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45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90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23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45</w:t>
            </w:r>
          </w:p>
        </w:tc>
        <w:tc>
          <w:tcPr>
            <w:tcW w:w="1407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A2类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30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60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15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30</w:t>
            </w:r>
          </w:p>
        </w:tc>
        <w:tc>
          <w:tcPr>
            <w:tcW w:w="1407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B类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15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30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8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15</w:t>
            </w:r>
          </w:p>
        </w:tc>
        <w:tc>
          <w:tcPr>
            <w:tcW w:w="1407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C类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5</w:t>
            </w:r>
          </w:p>
        </w:tc>
        <w:tc>
          <w:tcPr>
            <w:tcW w:w="1407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D类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1407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</w:p>
        </w:tc>
      </w:tr>
    </w:tbl>
    <w:p>
      <w:pPr>
        <w:widowControl w:val="0"/>
        <w:spacing w:beforeLines="50" w:afterLines="50" w:line="300" w:lineRule="auto"/>
        <w:ind w:firstLine="560" w:firstLineChars="200"/>
        <w:rPr>
          <w:rFonts w:ascii="Times New Roman" w:hAnsi="仿宋" w:eastAsia="仿宋"/>
          <w:sz w:val="28"/>
          <w:szCs w:val="28"/>
        </w:rPr>
      </w:pPr>
      <w:r>
        <w:rPr>
          <w:rFonts w:hint="eastAsia" w:ascii="Times New Roman" w:hAnsi="仿宋" w:eastAsia="仿宋"/>
          <w:sz w:val="28"/>
          <w:szCs w:val="28"/>
        </w:rPr>
        <w:t xml:space="preserve">D类论文最多计算3项。 </w:t>
      </w:r>
    </w:p>
    <w:p>
      <w:pPr>
        <w:widowControl w:val="0"/>
        <w:spacing w:beforeLines="50" w:afterLines="50" w:line="300" w:lineRule="auto"/>
        <w:ind w:firstLine="560" w:firstLineChars="200"/>
        <w:rPr>
          <w:rFonts w:ascii="Times New Roman" w:hAnsi="仿宋" w:eastAsia="仿宋"/>
          <w:sz w:val="28"/>
          <w:szCs w:val="28"/>
          <w:highlight w:val="none"/>
        </w:rPr>
      </w:pPr>
      <w:r>
        <w:rPr>
          <w:rFonts w:hint="eastAsia" w:ascii="Times New Roman" w:hAnsi="仿宋" w:eastAsia="仿宋"/>
          <w:sz w:val="28"/>
          <w:szCs w:val="28"/>
          <w:highlight w:val="none"/>
        </w:rPr>
        <w:t>3.著作分类计分标准</w:t>
      </w:r>
    </w:p>
    <w:p>
      <w:pPr>
        <w:widowControl w:val="0"/>
        <w:spacing w:after="0" w:line="300" w:lineRule="auto"/>
        <w:ind w:firstLine="560" w:firstLineChars="200"/>
        <w:rPr>
          <w:rFonts w:ascii="Times New Roman" w:hAnsi="仿宋" w:eastAsia="仿宋"/>
          <w:sz w:val="28"/>
          <w:szCs w:val="28"/>
          <w:highlight w:val="none"/>
        </w:rPr>
      </w:pPr>
      <w:r>
        <w:rPr>
          <w:rFonts w:hint="eastAsia" w:ascii="Times New Roman" w:hAnsi="仿宋" w:eastAsia="仿宋"/>
          <w:sz w:val="28"/>
          <w:szCs w:val="28"/>
          <w:highlight w:val="none"/>
        </w:rPr>
        <w:t>研究生主编或参编著作超过三分之一或不少于6万字，认定为一部著作。参编多部著作字数可累计，累计达不到一部著作，不少于2万字时，认定为低一级别论文。计分标准如表3。</w:t>
      </w:r>
    </w:p>
    <w:p>
      <w:pPr>
        <w:widowControl w:val="0"/>
        <w:spacing w:beforeLines="20" w:afterLines="20"/>
        <w:jc w:val="center"/>
        <w:rPr>
          <w:rFonts w:ascii="Times New Roman" w:hAnsi="Times New Roman" w:eastAsia="仿宋"/>
          <w:b/>
          <w:color w:val="FF0000"/>
          <w:sz w:val="24"/>
          <w:szCs w:val="24"/>
          <w:highlight w:val="none"/>
        </w:rPr>
      </w:pPr>
      <w:r>
        <w:rPr>
          <w:rFonts w:hint="eastAsia" w:ascii="Times New Roman" w:hAnsi="Times New Roman" w:eastAsia="仿宋"/>
          <w:b/>
          <w:sz w:val="24"/>
          <w:szCs w:val="24"/>
          <w:highlight w:val="none"/>
        </w:rPr>
        <w:t>表3  著作计分标准（单位：分/篇）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highlight w:val="none"/>
              </w:rPr>
              <w:t>级别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highlight w:val="none"/>
              </w:rPr>
              <w:t>博  士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highlight w:val="none"/>
              </w:rPr>
              <w:t>硕  士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highlight w:val="none"/>
              </w:rPr>
              <w:t>A类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highlight w:val="none"/>
              </w:rPr>
              <w:t>100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highlight w:val="none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highlight w:val="none"/>
              </w:rPr>
              <w:t>B类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highlight w:val="none"/>
              </w:rPr>
              <w:t>50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highlight w:val="none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highlight w:val="none"/>
              </w:rPr>
              <w:t>C类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highlight w:val="none"/>
              </w:rPr>
              <w:t>30</w:t>
            </w:r>
          </w:p>
        </w:tc>
      </w:tr>
    </w:tbl>
    <w:p>
      <w:pPr>
        <w:widowControl w:val="0"/>
        <w:spacing w:after="0" w:line="300" w:lineRule="auto"/>
        <w:rPr>
          <w:rFonts w:ascii="Times New Roman" w:hAnsi="仿宋" w:eastAsia="仿宋"/>
          <w:sz w:val="28"/>
          <w:szCs w:val="28"/>
        </w:rPr>
      </w:pPr>
    </w:p>
    <w:p>
      <w:pPr>
        <w:widowControl w:val="0"/>
        <w:spacing w:beforeLines="50" w:afterLines="50" w:line="300" w:lineRule="auto"/>
        <w:ind w:firstLine="560" w:firstLineChars="200"/>
        <w:rPr>
          <w:rFonts w:ascii="Times New Roman" w:hAnsi="仿宋" w:eastAsia="仿宋"/>
          <w:sz w:val="28"/>
          <w:szCs w:val="28"/>
        </w:rPr>
      </w:pPr>
      <w:r>
        <w:rPr>
          <w:rFonts w:hint="eastAsia" w:ascii="Times New Roman" w:hAnsi="仿宋" w:eastAsia="仿宋"/>
          <w:sz w:val="28"/>
          <w:szCs w:val="28"/>
        </w:rPr>
        <w:t>4. 应用类成果计分标准</w:t>
      </w:r>
    </w:p>
    <w:p>
      <w:pPr>
        <w:widowControl w:val="0"/>
        <w:spacing w:after="0" w:line="300" w:lineRule="auto"/>
        <w:ind w:firstLine="560" w:firstLineChars="200"/>
        <w:rPr>
          <w:rFonts w:ascii="Times New Roman" w:hAnsi="仿宋" w:eastAsia="仿宋"/>
          <w:sz w:val="28"/>
          <w:szCs w:val="28"/>
        </w:rPr>
      </w:pPr>
      <w:r>
        <w:rPr>
          <w:rFonts w:hint="eastAsia" w:ascii="Times New Roman" w:hAnsi="仿宋" w:eastAsia="仿宋"/>
          <w:sz w:val="28"/>
          <w:szCs w:val="28"/>
        </w:rPr>
        <w:t>应用类成果主持开发人单位须为西北师范大学，分值可累加，计分标准如表4。</w:t>
      </w:r>
    </w:p>
    <w:p>
      <w:pPr>
        <w:widowControl w:val="0"/>
        <w:spacing w:beforeLines="20" w:afterLines="20"/>
        <w:jc w:val="center"/>
        <w:rPr>
          <w:rFonts w:ascii="Times New Roman" w:hAnsi="Times New Roman" w:eastAsia="仿宋"/>
          <w:b/>
          <w:sz w:val="24"/>
          <w:szCs w:val="24"/>
        </w:rPr>
      </w:pPr>
      <w:r>
        <w:rPr>
          <w:rFonts w:hint="eastAsia" w:ascii="Times New Roman" w:hAnsi="Times New Roman" w:eastAsia="仿宋"/>
          <w:b/>
          <w:sz w:val="24"/>
          <w:szCs w:val="24"/>
        </w:rPr>
        <w:t>表4  应用类成果计分标准（单位：分/项）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32"/>
        <w:gridCol w:w="832"/>
        <w:gridCol w:w="832"/>
        <w:gridCol w:w="832"/>
        <w:gridCol w:w="705"/>
        <w:gridCol w:w="772"/>
        <w:gridCol w:w="717"/>
        <w:gridCol w:w="761"/>
        <w:gridCol w:w="761"/>
        <w:gridCol w:w="852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Merge w:val="restart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成果</w:t>
            </w:r>
          </w:p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级别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排名第一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排名第二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排名第三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排名第四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排名第五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博士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硕士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博士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硕士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博士</w:t>
            </w:r>
          </w:p>
        </w:tc>
        <w:tc>
          <w:tcPr>
            <w:tcW w:w="77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硕士</w:t>
            </w:r>
          </w:p>
        </w:tc>
        <w:tc>
          <w:tcPr>
            <w:tcW w:w="717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博士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硕士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博士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硕士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A类</w:t>
            </w:r>
          </w:p>
        </w:tc>
        <w:tc>
          <w:tcPr>
            <w:tcW w:w="83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45</w:t>
            </w:r>
          </w:p>
        </w:tc>
        <w:tc>
          <w:tcPr>
            <w:tcW w:w="83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90</w:t>
            </w:r>
          </w:p>
        </w:tc>
        <w:tc>
          <w:tcPr>
            <w:tcW w:w="83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36</w:t>
            </w:r>
          </w:p>
        </w:tc>
        <w:tc>
          <w:tcPr>
            <w:tcW w:w="83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72</w:t>
            </w:r>
          </w:p>
        </w:tc>
        <w:tc>
          <w:tcPr>
            <w:tcW w:w="705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27</w:t>
            </w:r>
          </w:p>
        </w:tc>
        <w:tc>
          <w:tcPr>
            <w:tcW w:w="77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54</w:t>
            </w:r>
          </w:p>
        </w:tc>
        <w:tc>
          <w:tcPr>
            <w:tcW w:w="717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18</w:t>
            </w:r>
          </w:p>
        </w:tc>
        <w:tc>
          <w:tcPr>
            <w:tcW w:w="761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36</w:t>
            </w:r>
          </w:p>
        </w:tc>
        <w:tc>
          <w:tcPr>
            <w:tcW w:w="761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9</w:t>
            </w:r>
          </w:p>
        </w:tc>
        <w:tc>
          <w:tcPr>
            <w:tcW w:w="85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B类</w:t>
            </w:r>
          </w:p>
        </w:tc>
        <w:tc>
          <w:tcPr>
            <w:tcW w:w="83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20</w:t>
            </w:r>
          </w:p>
        </w:tc>
        <w:tc>
          <w:tcPr>
            <w:tcW w:w="83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40</w:t>
            </w:r>
          </w:p>
        </w:tc>
        <w:tc>
          <w:tcPr>
            <w:tcW w:w="83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16</w:t>
            </w:r>
          </w:p>
        </w:tc>
        <w:tc>
          <w:tcPr>
            <w:tcW w:w="83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32</w:t>
            </w:r>
          </w:p>
        </w:tc>
        <w:tc>
          <w:tcPr>
            <w:tcW w:w="705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12</w:t>
            </w:r>
          </w:p>
        </w:tc>
        <w:tc>
          <w:tcPr>
            <w:tcW w:w="77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24</w:t>
            </w:r>
          </w:p>
        </w:tc>
        <w:tc>
          <w:tcPr>
            <w:tcW w:w="717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8</w:t>
            </w:r>
          </w:p>
        </w:tc>
        <w:tc>
          <w:tcPr>
            <w:tcW w:w="761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16</w:t>
            </w:r>
          </w:p>
        </w:tc>
        <w:tc>
          <w:tcPr>
            <w:tcW w:w="761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4</w:t>
            </w:r>
          </w:p>
        </w:tc>
        <w:tc>
          <w:tcPr>
            <w:tcW w:w="85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C类</w:t>
            </w:r>
          </w:p>
        </w:tc>
        <w:tc>
          <w:tcPr>
            <w:tcW w:w="83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5</w:t>
            </w:r>
          </w:p>
        </w:tc>
        <w:tc>
          <w:tcPr>
            <w:tcW w:w="83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10</w:t>
            </w:r>
          </w:p>
        </w:tc>
        <w:tc>
          <w:tcPr>
            <w:tcW w:w="83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4</w:t>
            </w:r>
          </w:p>
        </w:tc>
        <w:tc>
          <w:tcPr>
            <w:tcW w:w="83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8</w:t>
            </w:r>
          </w:p>
        </w:tc>
        <w:tc>
          <w:tcPr>
            <w:tcW w:w="705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</w:t>
            </w:r>
          </w:p>
        </w:tc>
        <w:tc>
          <w:tcPr>
            <w:tcW w:w="77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6</w:t>
            </w:r>
          </w:p>
        </w:tc>
        <w:tc>
          <w:tcPr>
            <w:tcW w:w="717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</w:t>
            </w:r>
          </w:p>
        </w:tc>
        <w:tc>
          <w:tcPr>
            <w:tcW w:w="761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4</w:t>
            </w:r>
          </w:p>
        </w:tc>
        <w:tc>
          <w:tcPr>
            <w:tcW w:w="761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85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D类</w:t>
            </w:r>
          </w:p>
        </w:tc>
        <w:tc>
          <w:tcPr>
            <w:tcW w:w="83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2.5</w:t>
            </w:r>
          </w:p>
        </w:tc>
        <w:tc>
          <w:tcPr>
            <w:tcW w:w="83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5</w:t>
            </w:r>
          </w:p>
        </w:tc>
        <w:tc>
          <w:tcPr>
            <w:tcW w:w="83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</w:t>
            </w:r>
          </w:p>
        </w:tc>
        <w:tc>
          <w:tcPr>
            <w:tcW w:w="83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4</w:t>
            </w:r>
          </w:p>
        </w:tc>
        <w:tc>
          <w:tcPr>
            <w:tcW w:w="705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1.5</w:t>
            </w:r>
          </w:p>
        </w:tc>
        <w:tc>
          <w:tcPr>
            <w:tcW w:w="77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</w:t>
            </w:r>
          </w:p>
        </w:tc>
        <w:tc>
          <w:tcPr>
            <w:tcW w:w="717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761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761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85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</w:tr>
    </w:tbl>
    <w:p>
      <w:pPr>
        <w:widowControl w:val="0"/>
        <w:spacing w:beforeLines="50" w:afterLines="50" w:line="300" w:lineRule="auto"/>
        <w:ind w:firstLine="560" w:firstLineChars="200"/>
        <w:rPr>
          <w:rFonts w:ascii="Times New Roman" w:hAnsi="仿宋" w:eastAsia="仿宋"/>
          <w:sz w:val="28"/>
          <w:szCs w:val="28"/>
        </w:rPr>
      </w:pPr>
      <w:r>
        <w:rPr>
          <w:rFonts w:hint="eastAsia" w:ascii="Times New Roman" w:hAnsi="仿宋" w:eastAsia="仿宋"/>
          <w:sz w:val="28"/>
          <w:szCs w:val="28"/>
        </w:rPr>
        <w:t>5. 研究成果奖励计分标准</w:t>
      </w:r>
    </w:p>
    <w:p>
      <w:pPr>
        <w:widowControl w:val="0"/>
        <w:spacing w:after="0" w:line="300" w:lineRule="auto"/>
        <w:ind w:firstLine="560" w:firstLineChars="200"/>
        <w:rPr>
          <w:rFonts w:hint="eastAsia" w:ascii="Times New Roman" w:hAnsi="仿宋" w:eastAsia="仿宋"/>
          <w:sz w:val="28"/>
          <w:szCs w:val="28"/>
        </w:rPr>
      </w:pPr>
      <w:r>
        <w:rPr>
          <w:rFonts w:hint="eastAsia" w:ascii="Times New Roman" w:hAnsi="仿宋" w:eastAsia="仿宋"/>
          <w:sz w:val="28"/>
          <w:szCs w:val="28"/>
        </w:rPr>
        <w:t>研究成果奖励</w:t>
      </w:r>
      <w:r>
        <w:rPr>
          <w:rFonts w:hint="eastAsia" w:ascii="Times New Roman" w:hAnsi="仿宋" w:eastAsia="仿宋"/>
          <w:color w:val="000000" w:themeColor="text1"/>
          <w:sz w:val="28"/>
          <w:szCs w:val="28"/>
        </w:rPr>
        <w:t>主持人</w:t>
      </w:r>
      <w:r>
        <w:rPr>
          <w:rFonts w:hint="eastAsia" w:ascii="Times New Roman" w:hAnsi="仿宋" w:eastAsia="仿宋"/>
          <w:sz w:val="28"/>
          <w:szCs w:val="28"/>
        </w:rPr>
        <w:t>单位须为西北师范大学，获得研究成果奖励以获奖证书排名为依据，分值可累加，计分标准如表5。</w:t>
      </w:r>
    </w:p>
    <w:p>
      <w:pPr>
        <w:widowControl w:val="0"/>
        <w:spacing w:after="0" w:line="300" w:lineRule="auto"/>
        <w:ind w:firstLine="560" w:firstLineChars="200"/>
        <w:rPr>
          <w:rFonts w:hint="eastAsia" w:ascii="Times New Roman" w:hAnsi="仿宋" w:eastAsia="仿宋"/>
          <w:sz w:val="28"/>
          <w:szCs w:val="28"/>
        </w:rPr>
      </w:pPr>
    </w:p>
    <w:p>
      <w:pPr>
        <w:widowControl w:val="0"/>
        <w:spacing w:beforeLines="20" w:afterLines="20"/>
        <w:jc w:val="center"/>
        <w:rPr>
          <w:rFonts w:ascii="Times New Roman" w:hAnsi="Times New Roman" w:eastAsia="仿宋"/>
          <w:b/>
          <w:sz w:val="24"/>
          <w:szCs w:val="24"/>
        </w:rPr>
      </w:pPr>
      <w:r>
        <w:rPr>
          <w:rFonts w:hint="eastAsia" w:ascii="Times New Roman" w:hAnsi="Times New Roman" w:eastAsia="仿宋"/>
          <w:b/>
          <w:sz w:val="24"/>
          <w:szCs w:val="24"/>
        </w:rPr>
        <w:t>表5  研究成果奖励计分标准（单位：分/项）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32"/>
        <w:gridCol w:w="832"/>
        <w:gridCol w:w="832"/>
        <w:gridCol w:w="832"/>
        <w:gridCol w:w="705"/>
        <w:gridCol w:w="772"/>
        <w:gridCol w:w="717"/>
        <w:gridCol w:w="761"/>
        <w:gridCol w:w="761"/>
        <w:gridCol w:w="852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Merge w:val="restart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获奖</w:t>
            </w:r>
          </w:p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级别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排名第一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排名第二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排名第三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排名第四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排名第五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博士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硕士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博士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硕士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博士</w:t>
            </w:r>
          </w:p>
        </w:tc>
        <w:tc>
          <w:tcPr>
            <w:tcW w:w="77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硕士</w:t>
            </w:r>
          </w:p>
        </w:tc>
        <w:tc>
          <w:tcPr>
            <w:tcW w:w="717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博士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硕士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博士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硕士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A类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45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90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36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72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27</w:t>
            </w:r>
          </w:p>
        </w:tc>
        <w:tc>
          <w:tcPr>
            <w:tcW w:w="77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54</w:t>
            </w:r>
          </w:p>
        </w:tc>
        <w:tc>
          <w:tcPr>
            <w:tcW w:w="717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18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36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9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B类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20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40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16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32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12</w:t>
            </w:r>
          </w:p>
        </w:tc>
        <w:tc>
          <w:tcPr>
            <w:tcW w:w="77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24</w:t>
            </w:r>
          </w:p>
        </w:tc>
        <w:tc>
          <w:tcPr>
            <w:tcW w:w="717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8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16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4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C类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10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20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8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16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6</w:t>
            </w:r>
          </w:p>
        </w:tc>
        <w:tc>
          <w:tcPr>
            <w:tcW w:w="77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12</w:t>
            </w:r>
          </w:p>
        </w:tc>
        <w:tc>
          <w:tcPr>
            <w:tcW w:w="717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4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8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D类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5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10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4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8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</w:t>
            </w:r>
          </w:p>
        </w:tc>
        <w:tc>
          <w:tcPr>
            <w:tcW w:w="77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6</w:t>
            </w:r>
          </w:p>
        </w:tc>
        <w:tc>
          <w:tcPr>
            <w:tcW w:w="717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校级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5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4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77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717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院级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77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717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</w:tr>
    </w:tbl>
    <w:p>
      <w:pPr>
        <w:widowControl w:val="0"/>
        <w:spacing w:beforeLines="50" w:afterLines="50" w:line="300" w:lineRule="auto"/>
        <w:rPr>
          <w:rFonts w:ascii="Times New Roman" w:hAnsi="仿宋" w:eastAsia="仿宋"/>
          <w:sz w:val="28"/>
          <w:szCs w:val="28"/>
        </w:rPr>
      </w:pPr>
      <w:r>
        <w:rPr>
          <w:rFonts w:hint="eastAsia" w:ascii="Times New Roman" w:hAnsi="仿宋" w:eastAsia="仿宋"/>
          <w:sz w:val="28"/>
          <w:szCs w:val="28"/>
        </w:rPr>
        <w:t>校、院级奖励最多各计算2项。</w:t>
      </w:r>
    </w:p>
    <w:p>
      <w:pPr>
        <w:pStyle w:val="7"/>
        <w:widowControl/>
        <w:spacing w:before="159" w:beforeAutospacing="0" w:after="159" w:afterAutospacing="0" w:line="26" w:lineRule="atLeast"/>
        <w:ind w:firstLine="550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Style w:val="10"/>
          <w:rFonts w:hint="eastAsia" w:ascii="仿宋" w:hAnsi="仿宋" w:eastAsia="仿宋" w:cs="仿宋"/>
          <w:color w:val="333333"/>
          <w:sz w:val="27"/>
          <w:szCs w:val="27"/>
        </w:rPr>
        <w:t>二、学业成绩分数计算（满分</w:t>
      </w:r>
      <w:r>
        <w:rPr>
          <w:rStyle w:val="10"/>
          <w:rFonts w:ascii="Times New Roman" w:hAnsi="Times New Roman" w:eastAsia="微软雅黑"/>
          <w:color w:val="333333"/>
          <w:sz w:val="27"/>
          <w:szCs w:val="27"/>
        </w:rPr>
        <w:t>100</w:t>
      </w:r>
      <w:r>
        <w:rPr>
          <w:rStyle w:val="10"/>
          <w:rFonts w:hint="eastAsia" w:ascii="仿宋" w:hAnsi="仿宋" w:eastAsia="仿宋" w:cs="仿宋"/>
          <w:color w:val="333333"/>
          <w:sz w:val="27"/>
          <w:szCs w:val="27"/>
        </w:rPr>
        <w:t>分）</w:t>
      </w:r>
    </w:p>
    <w:p>
      <w:pPr>
        <w:pStyle w:val="7"/>
        <w:widowControl/>
        <w:spacing w:beforeAutospacing="0" w:afterAutospacing="0" w:line="263" w:lineRule="atLeast"/>
        <w:ind w:firstLine="562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27"/>
          <w:szCs w:val="27"/>
        </w:rPr>
        <w:t>学业成绩只统计学位课成绩。学业成绩最高为</w:t>
      </w:r>
      <w:r>
        <w:rPr>
          <w:rFonts w:ascii="Times New Roman" w:hAnsi="Times New Roman" w:eastAsia="微软雅黑"/>
          <w:color w:val="333333"/>
          <w:sz w:val="27"/>
          <w:szCs w:val="27"/>
        </w:rPr>
        <w:t>100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分。计算方式如下：</w:t>
      </w:r>
    </w:p>
    <w:p>
      <w:pPr>
        <w:pStyle w:val="7"/>
        <w:widowControl/>
        <w:spacing w:beforeAutospacing="0" w:afterAutospacing="0" w:line="272" w:lineRule="atLeast"/>
        <w:ind w:firstLine="482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</w:rPr>
        <w:drawing>
          <wp:inline distT="0" distB="0" distL="114300" distR="114300">
            <wp:extent cx="1524000" cy="533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1" w:name="图片_2"/>
      <w:bookmarkEnd w:id="1"/>
    </w:p>
    <w:p>
      <w:pPr>
        <w:pStyle w:val="7"/>
        <w:widowControl/>
        <w:spacing w:beforeAutospacing="0" w:afterAutospacing="0" w:line="263" w:lineRule="atLeast"/>
        <w:ind w:firstLine="562"/>
        <w:rPr>
          <w:rFonts w:ascii="仿宋" w:hAnsi="仿宋" w:eastAsia="仿宋" w:cs="仿宋"/>
          <w:color w:val="333333"/>
          <w:sz w:val="27"/>
          <w:szCs w:val="27"/>
        </w:rPr>
      </w:pPr>
      <w:r>
        <w:rPr>
          <w:rFonts w:hint="eastAsia" w:ascii="仿宋" w:hAnsi="仿宋" w:eastAsia="仿宋" w:cs="仿宋"/>
          <w:color w:val="333333"/>
          <w:sz w:val="27"/>
          <w:szCs w:val="27"/>
        </w:rPr>
        <w:t>其中，X1i表示纳入测评的每门课的成绩，Y1i表示相应课程的学分，m为纳入测评的课程总门数。</w:t>
      </w:r>
    </w:p>
    <w:p>
      <w:pPr>
        <w:pStyle w:val="7"/>
        <w:widowControl/>
        <w:spacing w:beforeAutospacing="0" w:afterAutospacing="0" w:line="263" w:lineRule="atLeast"/>
        <w:ind w:firstLine="562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ascii="Times New Roman" w:hAnsi="Times New Roman" w:eastAsia="微软雅黑"/>
          <w:color w:val="333333"/>
          <w:sz w:val="27"/>
          <w:szCs w:val="27"/>
        </w:rPr>
        <w:t>1. 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学位课程性质及成绩认定以学院评审委员会解释为准；</w:t>
      </w:r>
    </w:p>
    <w:p>
      <w:pPr>
        <w:pStyle w:val="7"/>
        <w:widowControl/>
        <w:spacing w:beforeAutospacing="0" w:afterAutospacing="0" w:line="263" w:lineRule="atLeast"/>
        <w:ind w:firstLine="562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ascii="Times New Roman" w:hAnsi="Times New Roman" w:eastAsia="微软雅黑"/>
          <w:color w:val="333333"/>
          <w:sz w:val="27"/>
          <w:szCs w:val="27"/>
        </w:rPr>
        <w:t>2. 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任课教师应在评定前将该课程考试或考核成绩评定，如遇研究生评定前教师仍未评定学位课成绩者，该门学位课程成绩将不计入学习成绩分数评定；</w:t>
      </w:r>
    </w:p>
    <w:p>
      <w:pPr>
        <w:pStyle w:val="7"/>
        <w:widowControl/>
        <w:spacing w:beforeAutospacing="0" w:afterAutospacing="0" w:line="263" w:lineRule="atLeast"/>
        <w:ind w:firstLine="562"/>
        <w:rPr>
          <w:rFonts w:ascii="微软雅黑" w:hAnsi="微软雅黑" w:eastAsia="微软雅黑" w:cs="微软雅黑"/>
          <w:color w:val="333333"/>
          <w:sz w:val="21"/>
          <w:szCs w:val="21"/>
        </w:rPr>
      </w:pPr>
      <w:bookmarkStart w:id="2" w:name="OLE_LINK3"/>
      <w:bookmarkEnd w:id="2"/>
      <w:r>
        <w:rPr>
          <w:rFonts w:ascii="Times New Roman" w:hAnsi="Times New Roman" w:eastAsia="微软雅黑"/>
          <w:color w:val="333333"/>
          <w:sz w:val="27"/>
          <w:szCs w:val="27"/>
        </w:rPr>
        <w:t>3. 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研究生在读期间通过英语六级者（或通过专业八级者），学业成绩分数加</w:t>
      </w:r>
      <w:r>
        <w:rPr>
          <w:rFonts w:ascii="Times New Roman" w:hAnsi="Times New Roman" w:eastAsia="微软雅黑"/>
          <w:color w:val="333333"/>
          <w:sz w:val="27"/>
          <w:szCs w:val="27"/>
        </w:rPr>
        <w:t>2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分（只计算</w:t>
      </w:r>
      <w:r>
        <w:rPr>
          <w:rFonts w:ascii="Times New Roman" w:hAnsi="Times New Roman" w:eastAsia="微软雅黑"/>
          <w:color w:val="333333"/>
          <w:sz w:val="27"/>
          <w:szCs w:val="27"/>
        </w:rPr>
        <w:t>1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次），学业成绩分数达到</w:t>
      </w:r>
      <w:r>
        <w:rPr>
          <w:rFonts w:ascii="Times New Roman" w:hAnsi="Times New Roman" w:eastAsia="微软雅黑"/>
          <w:color w:val="333333"/>
          <w:sz w:val="27"/>
          <w:szCs w:val="27"/>
        </w:rPr>
        <w:t>100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分满分为止。</w:t>
      </w:r>
    </w:p>
    <w:p>
      <w:pPr>
        <w:pStyle w:val="7"/>
        <w:widowControl/>
        <w:spacing w:before="159" w:beforeAutospacing="0" w:after="159" w:afterAutospacing="0" w:line="26" w:lineRule="atLeast"/>
        <w:ind w:firstLine="550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Style w:val="10"/>
          <w:rFonts w:hint="eastAsia" w:ascii="仿宋" w:hAnsi="仿宋" w:eastAsia="仿宋" w:cs="仿宋"/>
          <w:color w:val="333333"/>
          <w:sz w:val="27"/>
          <w:szCs w:val="27"/>
        </w:rPr>
        <w:t>三、学术活动分数计算（满分</w:t>
      </w:r>
      <w:r>
        <w:rPr>
          <w:rStyle w:val="10"/>
          <w:rFonts w:ascii="Times New Roman" w:hAnsi="Times New Roman" w:eastAsia="微软雅黑"/>
          <w:color w:val="333333"/>
          <w:sz w:val="27"/>
          <w:szCs w:val="27"/>
        </w:rPr>
        <w:t>100</w:t>
      </w:r>
      <w:r>
        <w:rPr>
          <w:rStyle w:val="10"/>
          <w:rFonts w:hint="eastAsia" w:ascii="仿宋" w:hAnsi="仿宋" w:eastAsia="仿宋" w:cs="仿宋"/>
          <w:color w:val="333333"/>
          <w:sz w:val="27"/>
          <w:szCs w:val="27"/>
        </w:rPr>
        <w:t>分）</w:t>
      </w:r>
    </w:p>
    <w:p>
      <w:pPr>
        <w:pStyle w:val="7"/>
        <w:widowControl/>
        <w:spacing w:beforeAutospacing="0" w:afterAutospacing="0" w:line="420" w:lineRule="atLeast"/>
        <w:ind w:firstLine="562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27"/>
          <w:szCs w:val="27"/>
        </w:rPr>
        <w:t>学术活动分数包括参与学院组织的研究生论坛、专家讲座、读书汇报活动等和学院组织的各种学术比赛，国内外组织的学术会议等。学术活动分数累计最高为</w:t>
      </w:r>
      <w:r>
        <w:rPr>
          <w:rFonts w:ascii="Times New Roman" w:hAnsi="Times New Roman" w:eastAsia="微软雅黑"/>
          <w:color w:val="333333"/>
          <w:sz w:val="27"/>
          <w:szCs w:val="27"/>
        </w:rPr>
        <w:t>100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分。计算方式如下：</w:t>
      </w:r>
    </w:p>
    <w:p>
      <w:pPr>
        <w:pStyle w:val="7"/>
        <w:widowControl/>
        <w:spacing w:beforeAutospacing="0" w:afterAutospacing="0" w:line="420" w:lineRule="atLeast"/>
        <w:ind w:firstLine="562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27"/>
          <w:szCs w:val="27"/>
        </w:rPr>
        <w:t>学术活动分数</w:t>
      </w:r>
      <w:r>
        <w:rPr>
          <w:rFonts w:ascii="Times New Roman" w:hAnsi="Times New Roman" w:eastAsia="微软雅黑"/>
          <w:color w:val="333333"/>
          <w:sz w:val="27"/>
          <w:szCs w:val="27"/>
        </w:rPr>
        <w:t>=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参与研究生论坛等学术活动分数（</w:t>
      </w:r>
      <w:r>
        <w:rPr>
          <w:rFonts w:ascii="Times New Roman" w:hAnsi="Times New Roman" w:eastAsia="微软雅黑"/>
          <w:color w:val="333333"/>
          <w:sz w:val="27"/>
          <w:szCs w:val="27"/>
        </w:rPr>
        <w:t>30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分）</w:t>
      </w:r>
      <w:r>
        <w:rPr>
          <w:rFonts w:ascii="Times New Roman" w:hAnsi="Times New Roman" w:eastAsia="微软雅黑"/>
          <w:color w:val="333333"/>
          <w:sz w:val="27"/>
          <w:szCs w:val="27"/>
        </w:rPr>
        <w:t>+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参与学院组织的各种学术比赛（</w:t>
      </w:r>
      <w:r>
        <w:rPr>
          <w:rFonts w:ascii="Times New Roman" w:hAnsi="Times New Roman" w:eastAsia="微软雅黑"/>
          <w:color w:val="333333"/>
          <w:sz w:val="27"/>
          <w:szCs w:val="27"/>
        </w:rPr>
        <w:t>30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分）</w:t>
      </w:r>
      <w:r>
        <w:rPr>
          <w:rFonts w:ascii="Times New Roman" w:hAnsi="Times New Roman" w:eastAsia="微软雅黑"/>
          <w:color w:val="333333"/>
          <w:sz w:val="27"/>
          <w:szCs w:val="27"/>
        </w:rPr>
        <w:t>+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国内外学术会议等（</w:t>
      </w:r>
      <w:r>
        <w:rPr>
          <w:rFonts w:ascii="Times New Roman" w:hAnsi="Times New Roman" w:eastAsia="微软雅黑"/>
          <w:color w:val="333333"/>
          <w:sz w:val="27"/>
          <w:szCs w:val="27"/>
        </w:rPr>
        <w:t>40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分）</w:t>
      </w:r>
    </w:p>
    <w:p>
      <w:pPr>
        <w:pStyle w:val="7"/>
        <w:widowControl/>
        <w:spacing w:beforeAutospacing="0" w:afterAutospacing="0" w:line="420" w:lineRule="atLeast"/>
        <w:ind w:firstLine="562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ascii="Times New Roman" w:hAnsi="Times New Roman" w:eastAsia="微软雅黑"/>
          <w:color w:val="333333"/>
          <w:sz w:val="27"/>
          <w:szCs w:val="27"/>
        </w:rPr>
        <w:t>1.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参与学院组织的研究生论坛、专家讲座、读书汇报活动等有考勤记录全勤者，即可累计分数</w:t>
      </w:r>
      <w:r>
        <w:rPr>
          <w:rFonts w:ascii="Times New Roman" w:hAnsi="Times New Roman" w:eastAsia="微软雅黑"/>
          <w:color w:val="333333"/>
          <w:sz w:val="27"/>
          <w:szCs w:val="27"/>
        </w:rPr>
        <w:t>30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分。学院有考勤记录中，无故缺勤</w:t>
      </w:r>
      <w:r>
        <w:rPr>
          <w:rFonts w:ascii="Times New Roman" w:hAnsi="Times New Roman" w:eastAsia="微软雅黑"/>
          <w:color w:val="333333"/>
          <w:sz w:val="27"/>
          <w:szCs w:val="27"/>
        </w:rPr>
        <w:t>1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次扣除</w:t>
      </w:r>
      <w:r>
        <w:rPr>
          <w:rFonts w:ascii="Times New Roman" w:hAnsi="Times New Roman" w:eastAsia="微软雅黑"/>
          <w:color w:val="333333"/>
          <w:sz w:val="27"/>
          <w:szCs w:val="27"/>
        </w:rPr>
        <w:t>10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分，直至</w:t>
      </w:r>
      <w:r>
        <w:rPr>
          <w:rFonts w:ascii="Times New Roman" w:hAnsi="Times New Roman" w:eastAsia="微软雅黑"/>
          <w:color w:val="333333"/>
          <w:sz w:val="27"/>
          <w:szCs w:val="27"/>
        </w:rPr>
        <w:t>30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分扣完为止；</w:t>
      </w:r>
    </w:p>
    <w:p>
      <w:pPr>
        <w:pStyle w:val="7"/>
        <w:widowControl/>
        <w:spacing w:beforeAutospacing="0" w:afterAutospacing="0" w:line="420" w:lineRule="atLeast"/>
        <w:ind w:firstLine="562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ascii="Times New Roman" w:hAnsi="Times New Roman" w:eastAsia="微软雅黑"/>
          <w:color w:val="333333"/>
          <w:sz w:val="27"/>
          <w:szCs w:val="27"/>
        </w:rPr>
        <w:t>2.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参与学院组织的各种学术活动获奖计</w:t>
      </w:r>
      <w:r>
        <w:rPr>
          <w:rFonts w:ascii="Times New Roman" w:hAnsi="Times New Roman" w:eastAsia="微软雅黑"/>
          <w:color w:val="333333"/>
          <w:sz w:val="27"/>
          <w:szCs w:val="27"/>
        </w:rPr>
        <w:t>10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分</w:t>
      </w:r>
      <w:r>
        <w:rPr>
          <w:rFonts w:ascii="Times New Roman" w:hAnsi="Times New Roman" w:eastAsia="微软雅黑"/>
          <w:color w:val="333333"/>
          <w:sz w:val="27"/>
          <w:szCs w:val="27"/>
        </w:rPr>
        <w:t>/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次，达到</w:t>
      </w:r>
      <w:r>
        <w:rPr>
          <w:rFonts w:ascii="Times New Roman" w:hAnsi="Times New Roman" w:eastAsia="微软雅黑"/>
          <w:color w:val="333333"/>
          <w:sz w:val="27"/>
          <w:szCs w:val="27"/>
        </w:rPr>
        <w:t>30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分满分为止：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tLeast"/>
        <w:ind w:firstLine="540" w:firstLineChars="200"/>
        <w:textAlignment w:val="auto"/>
      </w:pPr>
      <w:r>
        <w:rPr>
          <w:rFonts w:ascii="Times New Roman" w:hAnsi="Times New Roman" w:eastAsia="微软雅黑"/>
          <w:color w:val="333333"/>
          <w:sz w:val="27"/>
          <w:szCs w:val="27"/>
        </w:rPr>
        <w:t>3.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参加国内外学术会议</w:t>
      </w:r>
      <w:r>
        <w:rPr>
          <w:rFonts w:ascii="Times New Roman" w:hAnsi="Times New Roman" w:eastAsia="微软雅黑"/>
          <w:color w:val="333333"/>
          <w:sz w:val="27"/>
          <w:szCs w:val="27"/>
        </w:rPr>
        <w:t>5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分</w:t>
      </w:r>
      <w:r>
        <w:rPr>
          <w:rFonts w:ascii="Times New Roman" w:hAnsi="Times New Roman" w:eastAsia="微软雅黑"/>
          <w:color w:val="333333"/>
          <w:sz w:val="27"/>
          <w:szCs w:val="27"/>
        </w:rPr>
        <w:t>/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次（需要提交参会会议通知</w:t>
      </w:r>
      <w:r>
        <w:rPr>
          <w:rFonts w:ascii="Times New Roman" w:hAnsi="Times New Roman" w:eastAsia="微软雅黑"/>
          <w:color w:val="333333"/>
          <w:sz w:val="27"/>
          <w:szCs w:val="27"/>
        </w:rPr>
        <w:t>/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会议邀请函</w:t>
      </w:r>
      <w:r>
        <w:rPr>
          <w:rFonts w:ascii="Times New Roman" w:hAnsi="Times New Roman" w:eastAsia="微软雅黑"/>
          <w:color w:val="333333"/>
          <w:sz w:val="27"/>
          <w:szCs w:val="27"/>
        </w:rPr>
        <w:t>/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会议现场照片</w:t>
      </w:r>
      <w:r>
        <w:rPr>
          <w:rFonts w:ascii="Times New Roman" w:hAnsi="Times New Roman" w:eastAsia="微软雅黑"/>
          <w:color w:val="333333"/>
          <w:sz w:val="27"/>
          <w:szCs w:val="27"/>
        </w:rPr>
        <w:t>/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会议期间住宿费发票复印件</w:t>
      </w:r>
      <w:r>
        <w:rPr>
          <w:rFonts w:ascii="Times New Roman" w:hAnsi="Times New Roman" w:eastAsia="微软雅黑"/>
          <w:color w:val="333333"/>
          <w:sz w:val="27"/>
          <w:szCs w:val="27"/>
        </w:rPr>
        <w:t>/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会议往返交通费复印件等佐证材料），论文被论文集收录者</w:t>
      </w:r>
      <w:r>
        <w:rPr>
          <w:rFonts w:ascii="Times New Roman" w:hAnsi="Times New Roman" w:eastAsia="微软雅黑"/>
          <w:color w:val="333333"/>
          <w:sz w:val="27"/>
          <w:szCs w:val="27"/>
        </w:rPr>
        <w:t>10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分</w:t>
      </w:r>
      <w:r>
        <w:rPr>
          <w:rFonts w:ascii="Times New Roman" w:hAnsi="Times New Roman" w:eastAsia="微软雅黑"/>
          <w:color w:val="333333"/>
          <w:sz w:val="27"/>
          <w:szCs w:val="27"/>
        </w:rPr>
        <w:t>/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篇（需要提交会议论文集）、会议报告</w:t>
      </w:r>
      <w:r>
        <w:rPr>
          <w:rFonts w:ascii="Times New Roman" w:hAnsi="Times New Roman" w:eastAsia="微软雅黑"/>
          <w:color w:val="333333"/>
          <w:sz w:val="27"/>
          <w:szCs w:val="27"/>
        </w:rPr>
        <w:t>15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分</w:t>
      </w:r>
      <w:r>
        <w:rPr>
          <w:rFonts w:ascii="Times New Roman" w:hAnsi="Times New Roman" w:eastAsia="微软雅黑"/>
          <w:color w:val="333333"/>
          <w:sz w:val="27"/>
          <w:szCs w:val="27"/>
        </w:rPr>
        <w:t>/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次（需要提交会议论文集及会议发言日程安排表），同一次会议只计算最高</w:t>
      </w:r>
      <w:r>
        <w:rPr>
          <w:rFonts w:ascii="Times New Roman" w:hAnsi="Times New Roman" w:eastAsia="微软雅黑"/>
          <w:color w:val="333333"/>
          <w:sz w:val="27"/>
          <w:szCs w:val="27"/>
        </w:rPr>
        <w:t>1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项。</w:t>
      </w:r>
    </w:p>
    <w:bookmarkEnd w:id="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66770DC"/>
    <w:rsid w:val="004F47DB"/>
    <w:rsid w:val="007949A2"/>
    <w:rsid w:val="00AC7EAF"/>
    <w:rsid w:val="16DD5E3B"/>
    <w:rsid w:val="3ACD67EA"/>
    <w:rsid w:val="5EBC0C7B"/>
    <w:rsid w:val="666770DC"/>
    <w:rsid w:val="6D0A72F0"/>
    <w:rsid w:val="6DE64C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customStyle="1" w:styleId="12">
    <w:name w:val="页眉 Char"/>
    <w:basedOn w:val="9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373</Words>
  <Characters>2127</Characters>
  <Lines>17</Lines>
  <Paragraphs>4</Paragraphs>
  <TotalTime>4</TotalTime>
  <ScaleCrop>false</ScaleCrop>
  <LinksUpToDate>false</LinksUpToDate>
  <CharactersWithSpaces>2496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2021-12-03T04:13:00Z</dcterms:created>
  <dc:creator>大漠游魂</dc:creator>
  <cp:lastModifiedBy>大漠游魂</cp:lastModifiedBy>
  <dcterms:modified xsi:type="dcterms:W3CDTF">2021-12-03T11:04:49Z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58F6B43B36CF4886908FEAE58595A8BA</vt:lpwstr>
  </property>
</Properties>
</file>